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5、投标人所投设备必须具有《中华人民共和国医疗器械注册证》，进口设备需提供《进口医疗器械注册证》；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6、投标人必须是所投产品的制造商或代理商，代理商投标须提供制造商对本项目的专项授权；不接受品牌完全相同的两个投标人同时投标；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7、信用中国查询截图</w:t>
      </w: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5EF714A"/>
    <w:rsid w:val="25FB1421"/>
    <w:rsid w:val="261A4E69"/>
    <w:rsid w:val="281D6FF8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2022-09-09T08:49:02Z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8EE0AD1DD326420DB7BC467ABFD19730</vt:lpwstr>
  </property>
</Properties>
</file>